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4A" w:rsidRPr="001C5D00" w:rsidRDefault="00E22A4A" w:rsidP="000F376B">
      <w:pPr>
        <w:pStyle w:val="wfxRecipient"/>
        <w:ind w:left="10632" w:right="142"/>
      </w:pPr>
      <w:r w:rsidRPr="001C5D00">
        <w:t>ЗАТВЕРДЖЕНО</w:t>
      </w:r>
    </w:p>
    <w:p w:rsidR="000F376B" w:rsidRDefault="00E22A4A" w:rsidP="000F376B">
      <w:pPr>
        <w:spacing w:after="0"/>
        <w:ind w:left="10632" w:right="142"/>
        <w:rPr>
          <w:rFonts w:ascii="Times New Roman" w:hAnsi="Times New Roman" w:cs="Times New Roman"/>
          <w:sz w:val="26"/>
          <w:szCs w:val="26"/>
          <w:lang w:val="uk-UA"/>
        </w:rPr>
      </w:pPr>
      <w:r w:rsidRPr="000F376B">
        <w:rPr>
          <w:rFonts w:ascii="Times New Roman" w:hAnsi="Times New Roman" w:cs="Times New Roman"/>
          <w:sz w:val="26"/>
          <w:szCs w:val="26"/>
          <w:lang w:val="uk-UA"/>
        </w:rPr>
        <w:t>Розпорядження голови Червоноградської  районної   державної  адміністрації</w:t>
      </w:r>
      <w:r w:rsidR="000F376B" w:rsidRPr="000F376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E22A4A" w:rsidRPr="000F376B" w:rsidRDefault="000F376B" w:rsidP="000F376B">
      <w:pPr>
        <w:spacing w:after="0"/>
        <w:ind w:left="10632" w:right="142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Львівської області</w:t>
      </w:r>
    </w:p>
    <w:p w:rsidR="00E22A4A" w:rsidRPr="001C5D00" w:rsidRDefault="006749F2" w:rsidP="000F376B">
      <w:pPr>
        <w:spacing w:after="0"/>
        <w:ind w:left="10632"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30 вересня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22A4A" w:rsidRPr="001C5D00">
        <w:rPr>
          <w:rFonts w:ascii="Times New Roman" w:hAnsi="Times New Roman" w:cs="Times New Roman"/>
          <w:sz w:val="26"/>
          <w:szCs w:val="26"/>
        </w:rPr>
        <w:t>2021 року №</w:t>
      </w:r>
      <w:r>
        <w:rPr>
          <w:rFonts w:ascii="Times New Roman" w:hAnsi="Times New Roman" w:cs="Times New Roman"/>
          <w:sz w:val="26"/>
          <w:szCs w:val="26"/>
          <w:lang w:val="uk-UA"/>
        </w:rPr>
        <w:t>127</w:t>
      </w:r>
      <w:bookmarkStart w:id="0" w:name="_GoBack"/>
      <w:bookmarkEnd w:id="0"/>
    </w:p>
    <w:p w:rsidR="00305703" w:rsidRPr="00ED1738" w:rsidRDefault="00305703" w:rsidP="000F376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</w:pPr>
    </w:p>
    <w:p w:rsidR="00305703" w:rsidRPr="00963D77" w:rsidRDefault="00305703" w:rsidP="00305703">
      <w:pPr>
        <w:widowControl w:val="0"/>
        <w:tabs>
          <w:tab w:val="left" w:leader="underscore" w:pos="1483"/>
          <w:tab w:val="left" w:leader="underscore" w:pos="7829"/>
        </w:tabs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 w:bidi="uk-UA"/>
        </w:rPr>
      </w:pPr>
      <w:r w:rsidRPr="00963D7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 w:bidi="uk-UA"/>
        </w:rPr>
        <w:t>ЗАХОДИ</w:t>
      </w:r>
    </w:p>
    <w:p w:rsidR="00305703" w:rsidRPr="00963D77" w:rsidRDefault="00305703" w:rsidP="00305703">
      <w:pPr>
        <w:widowControl w:val="0"/>
        <w:tabs>
          <w:tab w:val="left" w:leader="underscore" w:pos="1483"/>
          <w:tab w:val="left" w:leader="underscore" w:pos="7829"/>
        </w:tabs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 w:bidi="uk-UA"/>
        </w:rPr>
      </w:pPr>
      <w:r w:rsidRPr="00963D7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 w:bidi="uk-UA"/>
        </w:rPr>
        <w:t xml:space="preserve"> з виконання завдань Державної соціальної програми запобігання та протидії д</w:t>
      </w:r>
      <w:r w:rsidRPr="000D035A">
        <w:rPr>
          <w:rFonts w:ascii="Times New Roman" w:eastAsia="Times New Roman" w:hAnsi="Times New Roman"/>
          <w:b/>
          <w:color w:val="000000"/>
          <w:sz w:val="28"/>
          <w:szCs w:val="28"/>
          <w:lang w:eastAsia="uk-UA" w:bidi="uk-UA"/>
        </w:rPr>
        <w:t xml:space="preserve">омашньому насильству та насильству за ознакою статі на період до 2025 року у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 w:bidi="uk-UA"/>
        </w:rPr>
        <w:t>Червоноградському районі</w:t>
      </w:r>
    </w:p>
    <w:p w:rsidR="00305703" w:rsidRPr="00161779" w:rsidRDefault="00305703" w:rsidP="00305703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3692"/>
        <w:gridCol w:w="4819"/>
        <w:gridCol w:w="4678"/>
        <w:gridCol w:w="1528"/>
      </w:tblGrid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AA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703" w:rsidRPr="000B5905" w:rsidRDefault="00305703" w:rsidP="00C051C7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0B5905">
              <w:rPr>
                <w:rStyle w:val="2"/>
                <w:rFonts w:eastAsia="Calibri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5703" w:rsidRPr="000B5905" w:rsidRDefault="00305703" w:rsidP="00C051C7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0B5905">
              <w:rPr>
                <w:rStyle w:val="2"/>
                <w:rFonts w:eastAsia="Calibri"/>
                <w:b/>
                <w:sz w:val="24"/>
                <w:szCs w:val="24"/>
              </w:rPr>
              <w:t>Найменування показника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703" w:rsidRPr="000B5905" w:rsidRDefault="00305703" w:rsidP="00C051C7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0B5905">
              <w:rPr>
                <w:rStyle w:val="2"/>
                <w:rFonts w:eastAsia="Calibri"/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20" w:lineRule="exact"/>
              <w:jc w:val="center"/>
              <w:rPr>
                <w:rStyle w:val="2"/>
                <w:rFonts w:eastAsia="Calibri"/>
                <w:b/>
                <w:sz w:val="24"/>
                <w:szCs w:val="24"/>
              </w:rPr>
            </w:pPr>
            <w:r w:rsidRPr="000D035A">
              <w:rPr>
                <w:rFonts w:ascii="Times New Roman" w:hAnsi="Times New Roman"/>
                <w:b/>
                <w:sz w:val="24"/>
                <w:szCs w:val="24"/>
              </w:rPr>
              <w:t>Строк виконання, роки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6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Здійснення збору статистичних даних про факти домашнього насильства та/або насильства за ознакою статі та проведення аналізу ситуації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Кількість статистичних даних про факти домашнього насильства та/або насильства за ознакою статі, згрупованих за статтю і віком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суб'єкти взаємодії у сфері запобігання та протидії домашньому насильству,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  <w:tcBorders>
              <w:bottom w:val="single" w:sz="4" w:space="0" w:color="auto"/>
            </w:tcBorders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Забезпечення розповсюдження відповідно до законодавства інформації про домашнє насильство суб’єктами, що здійснюють заходи у сфері запобігання та протидії домашньому насильству та/або насильству за ознакою статі; про права, заходи та соціальні послуги, які надають різні суб’єкти; категорії осіб, які можуть ними скористатися, та порядок отримання таких послуг;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про відповідальність кривдників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Частка поінформованого населення про форми, прояви, причини і наслідки домашнього насильства та/або насильства за ознакою статі; права, заходи та соціальні послуги, які надають різні суб’єкти; категорії осіб, які можуть ними скористатися, та порядок отримання таких послуг; про відповідальність кривдників,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 , суб'єкти взаємодії у сфері запобігання та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протидії домашньому насильству,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виконавчі органи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 територіальних громад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(за згодою), інститути громадянського суспільства (за згодою)</w:t>
            </w:r>
          </w:p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651"/>
        </w:trPr>
        <w:tc>
          <w:tcPr>
            <w:tcW w:w="55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</w:p>
          <w:p w:rsidR="00305703" w:rsidRPr="00567620" w:rsidRDefault="00305703" w:rsidP="00C051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567620" w:rsidRDefault="00305703" w:rsidP="00C051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567620" w:rsidRDefault="00305703" w:rsidP="00C051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25677D" w:rsidP="00C05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pict>
                <v:line id="Прямая соединительная линия 5" o:spid="_x0000_s1028" style="position:absolute;flip:x;z-index:251662336;visibility:visible" from="-6.1pt,22.05pt" to="20.9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"/>
              </w:pict>
            </w:r>
          </w:p>
          <w:p w:rsidR="00305703" w:rsidRDefault="00305703" w:rsidP="00C051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567620" w:rsidRDefault="00305703" w:rsidP="00C05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Оприлюднення даних про суб’єктів, що здійснюють заходи у сфері запобігання та протидії домашньому насильству та/або насильству за ознакою статі на регіональному і місцевому рівні, та забезпечення доступності інформації про їх функції та обов’язки у запобіганні та протидії домашньому насильству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поінформованого населення про суб’єктів, які здійснюють заходи у сфері запобігання та протидії домашньому насильству та/або насильству за ознакою статі на регіональному і місцевому рівні, їх функції та обов’язки,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6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держадміністрації , суб'єкти взаємодії у сфері запобігання та протидії домашньому насильс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тву,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територіальних громад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Ведення обліку даних про діяльність загальних та спеціалізованих служб підтримки постраждалих осіб на загальнодержавному, регіональному і місцевому рівні та системне поширення інформації про послуги, які вони надають, і можливості їх отримання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Кількість поінформованого населення про діяльність загальних та спеціалізованих служб підтримки постраждалих осіб, про послуги, які вони надають, і можливості їх отримання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територіальних громад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  <w:tcBorders>
              <w:top w:val="single" w:sz="4" w:space="0" w:color="auto"/>
            </w:tcBorders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Забезпечення включення до навчальних програм закладів початкової, середньої, професійної (професійно-технічної), передвищої та вищої освіти тематичних занять щодо ціннісних орієнтирів, змісту, результатів навчання ненасильницькій поведінці, ефективній комунікації, управлінню конфліктами, емоційній грамотності, рівності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та недискримінації, ненасильницькому розв’язанню конфліктів у сімейних та міжособистісних відносинах; державного стандарту початкової освіти; державного стандарту базової середньої освіти; державного стандарту профільної середньої освіти; державних стандартів професійної (професійно-технічної) освіти; державних стандартів фахової передвищої освіти; стандартів вищої освіти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Кількість закладів освіти, де забезпечено включення до навчальних програм тематичних занять щодо ціннісних орієнтирів, змісту, результатів навчання ненасильницькій поведінці, рівності та недискримінації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Управління гуманітарної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="Calibri"/>
                <w:sz w:val="24"/>
                <w:szCs w:val="24"/>
              </w:rPr>
              <w:t>сфери 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0D3A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Проведення навчальних семінарів та тренінгів для педагогічних працівників за напрямом комунікаційної, емоційно-етичної компетентності за темою «Ненасильницька поведінка, ненасильницьке розв’язання конфліктів у сімейних та міжособистісних відносинах»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Кількість проведених навчальних семінарів та тренінгів для педагогічних працівників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Управління гуманітарної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="Calibri"/>
                <w:sz w:val="24"/>
                <w:szCs w:val="24"/>
              </w:rPr>
              <w:t>сфери 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територіальних громад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D3A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Залучення чоловіків і хлопців до заходів із формування в суспільстві нульової толерантності до домашнього насильства та/або насильства за ознакою статі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залучених чоловіків і хлопців до проведення акцій та інформаційних кампаній із запобігання та протидії домашньому насильству та/або насильству за ознакою статі,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 , суб'єкти взаємодії у сфері запобігання та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протидії домашньому насильству,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територіальних громад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399"/>
        </w:trPr>
        <w:tc>
          <w:tcPr>
            <w:tcW w:w="556" w:type="dxa"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Залучення бізнесу в розбудову системи запобігання та протидії насильству та/або насильству за ознакою статі, в тому числі запобігання насильству в трудових колективах, як частини корпоративної соціальної відповідальності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бізнес-структур, залучених до здійснення заходів із запобігання та протидії домашньому насильству та/або насильству за ознакою статі,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суб'єкти взаємодії у сфері запобігання та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протидії домашньому насильству,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територіальних громад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D3A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Визначення на рівні заступника голови облдержадміністрації, райдержадміністрації, органів місцевого самоврядування уповноваженої посадової особи з питань забезпечення рівних прав та можливостей жінок і чоловіків, запобігання та протидії насильству за ознакою статі, відповідальної за координацію заходів у сфері запобігання та протидії домашньому насильству та/або насильству за ознакою статі на території відповідної адміністративно-територіальної одиниці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органів виконавчої влади, органів місцевого самоврядування, у яких визначено відповідальних посадових осіб та забезпечено розміщення інформації про таких відповідальних посадових осіб,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держадміністрації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6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Забезпечення діяльності регіональних та місцевих координаційних рад з реалізації сімейної політики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проведених засідань координаційних рад порівняно із запланованою кількістю,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територіальних громад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(за згодою), інститути громадянського суспільства (за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згодою)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lastRenderedPageBreak/>
              <w:t>2021-2025</w:t>
            </w:r>
          </w:p>
        </w:tc>
      </w:tr>
      <w:tr w:rsidR="00305703" w:rsidRPr="000D3AAE" w:rsidTr="00E22A4A">
        <w:trPr>
          <w:cantSplit/>
          <w:trHeight w:val="20"/>
        </w:trPr>
        <w:tc>
          <w:tcPr>
            <w:tcW w:w="556" w:type="dxa"/>
            <w:vMerge w:val="restart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Pr="000D3A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2A4A" w:rsidRDefault="00E22A4A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A4A" w:rsidRDefault="00E22A4A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A4A" w:rsidRDefault="00E22A4A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A4A" w:rsidRDefault="00E22A4A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2A4A" w:rsidRDefault="00E22A4A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25677D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pict>
                <v:line id="Прямая соединительная линия 2" o:spid="_x0000_s1026" style="position:absolute;left:0;text-align:left;flip:x;z-index:251660288;visibility:visible" from="-6.1pt,7.1pt" to="205.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"/>
              </w:pict>
            </w:r>
          </w:p>
          <w:p w:rsidR="00305703" w:rsidRPr="000D3AAE" w:rsidRDefault="00305703" w:rsidP="00C0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A4A">
              <w:t>12.</w:t>
            </w:r>
          </w:p>
        </w:tc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Визначення відповідальних працівників виконавчих органів сільських/селищних, міських рад, які приймають та реєструють заяви і повідомлення про вчинення домашнього насильства та/або насильства за ознакою статі, координацію заходів реагування на факти вчинення такого насильства, надання допомоги і захисту постраждалим особам, роботи з кривдниками на території</w:t>
            </w:r>
            <w:r w:rsidR="00E22A4A">
              <w:rPr>
                <w:rStyle w:val="2"/>
                <w:rFonts w:eastAsia="Calibri"/>
                <w:sz w:val="24"/>
                <w:szCs w:val="24"/>
              </w:rPr>
              <w:t xml:space="preserve">    </w:t>
            </w:r>
            <w:r w:rsidR="00E22A4A" w:rsidRPr="000D035A">
              <w:rPr>
                <w:rStyle w:val="2"/>
                <w:rFonts w:eastAsia="Calibri"/>
                <w:sz w:val="24"/>
                <w:szCs w:val="24"/>
              </w:rPr>
              <w:t xml:space="preserve"> відповідної громади</w:t>
            </w:r>
          </w:p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620">
              <w:rPr>
                <w:rStyle w:val="a3"/>
                <w:rFonts w:eastAsia="Calibri"/>
                <w:sz w:val="24"/>
                <w:szCs w:val="24"/>
              </w:rPr>
              <w:t>Визначення</w:t>
            </w:r>
            <w:r w:rsidRPr="000D035A">
              <w:rPr>
                <w:rStyle w:val="a3"/>
                <w:rFonts w:eastAsia="Calibri"/>
                <w:sz w:val="24"/>
                <w:szCs w:val="24"/>
              </w:rPr>
              <w:t xml:space="preserve"> потреб територіальної громади у соціальних послугах, зокрема у соціальній профілактиці, з метою запобігання насильству, планування надання соціальних послуг для постраждалих осіб відповідно до оцінки потреб, визначення потреб у фінансуванні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територіальних громад, у яких визначено відповідальних осіб, які приймають та реєструють заяви і повідомлення про вчинення домашнього насильства та</w:t>
            </w:r>
            <w:r w:rsidRPr="000D035A">
              <w:rPr>
                <w:rFonts w:ascii="Times New Roman" w:hAnsi="Times New Roman"/>
                <w:sz w:val="24"/>
                <w:szCs w:val="24"/>
              </w:rPr>
              <w:t>/або насильства за ознакою статі, координацію заходів реагування на факти вчинення такого насильства, надання допомоги і захисту постраждалим особам, а також про роботу з кривдниками, відсотків</w:t>
            </w:r>
          </w:p>
          <w:p w:rsidR="00305703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В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Fonts w:ascii="Times New Roman" w:hAnsi="Times New Roman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69"/>
        </w:trPr>
        <w:tc>
          <w:tcPr>
            <w:tcW w:w="556" w:type="dxa"/>
            <w:vMerge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територіальних громад, які провели оцінку потреб громад у соціальних послугах для постраждалих осіб,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В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Включення до програм соціально- економічного розвитку громад заходів, спрямованих на запобігання та протидію домашньому насильству та/або насильству за ознакою статі та забезпечення їх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виконання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Кількість заходів, які включені до програм соціально-економічного розвитку територіальних громад, спрямованих на запобігання та протидію домашньому насильству та/або насильству за ознакою статі та забезпечення їх виконання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В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  <w:vMerge w:val="restart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Pr="000D3A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25677D" w:rsidP="00C05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pict>
                <v:line id="Прямая соединительная линия 3" o:spid="_x0000_s1027" style="position:absolute;flip:x y;z-index:251661312;visibility:visible;mso-width-relative:margin;mso-height-relative:margin" from="-6.1pt,17.3pt" to="205.4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"/>
              </w:pict>
            </w: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Вжиття заходів до забезпечення територіальних громад фахівцями із соціальної роботи, психологами, фахівцями з виявлення осіб/сімей, які перебувають у складних життєвих обставинах, запобігання домашньому насильству та/або насильству за ознакою статі, надання послуг постраждалим особам та вжиття з</w:t>
            </w:r>
            <w:r w:rsidRPr="00567620">
              <w:rPr>
                <w:rStyle w:val="2"/>
                <w:rFonts w:eastAsia="Calibri"/>
                <w:sz w:val="24"/>
                <w:szCs w:val="24"/>
              </w:rPr>
              <w:t>а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ходів реагування до кривдників</w:t>
            </w:r>
          </w:p>
          <w:p w:rsidR="00305703" w:rsidRDefault="00305703" w:rsidP="00C051C7">
            <w:pPr>
              <w:spacing w:line="259" w:lineRule="exact"/>
              <w:jc w:val="both"/>
              <w:rPr>
                <w:rStyle w:val="a3"/>
                <w:rFonts w:eastAsia="Calibri"/>
                <w:sz w:val="24"/>
                <w:szCs w:val="24"/>
                <w:lang w:val="uk-UA"/>
              </w:rPr>
            </w:pPr>
          </w:p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a3"/>
                <w:rFonts w:eastAsia="Calibri"/>
                <w:sz w:val="24"/>
                <w:szCs w:val="24"/>
              </w:rPr>
              <w:t>Здійснення обліку звернень щодо домашнього насильства та насильства за ознакою статі, облік скарг щодо неналежного/ несвоєчасного реагування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Default="00305703" w:rsidP="00C051C7">
            <w:pPr>
              <w:spacing w:line="259" w:lineRule="exact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територіальних громад, в яких працюють фахівці із запобігання та протидії домашньому насильству та/або насильству за ознакою статі, відсотків</w:t>
            </w:r>
          </w:p>
          <w:p w:rsidR="00305703" w:rsidRDefault="00305703" w:rsidP="00C051C7">
            <w:pPr>
              <w:spacing w:line="259" w:lineRule="exact"/>
              <w:jc w:val="both"/>
              <w:rPr>
                <w:rStyle w:val="2"/>
                <w:rFonts w:eastAsia="Calibri"/>
                <w:sz w:val="24"/>
                <w:szCs w:val="24"/>
              </w:rPr>
            </w:pPr>
          </w:p>
          <w:p w:rsidR="00305703" w:rsidRDefault="00305703" w:rsidP="00C051C7">
            <w:pPr>
              <w:spacing w:line="259" w:lineRule="exact"/>
              <w:jc w:val="both"/>
              <w:rPr>
                <w:rStyle w:val="2"/>
                <w:rFonts w:eastAsia="Calibri"/>
                <w:sz w:val="24"/>
                <w:szCs w:val="24"/>
              </w:rPr>
            </w:pPr>
          </w:p>
          <w:p w:rsidR="00E22A4A" w:rsidRDefault="00E22A4A" w:rsidP="00C051C7">
            <w:pPr>
              <w:spacing w:line="259" w:lineRule="exact"/>
              <w:jc w:val="both"/>
              <w:rPr>
                <w:rStyle w:val="2"/>
                <w:rFonts w:eastAsia="Calibri"/>
                <w:sz w:val="24"/>
                <w:szCs w:val="24"/>
              </w:rPr>
            </w:pPr>
          </w:p>
          <w:p w:rsidR="00305703" w:rsidRDefault="00305703" w:rsidP="00C051C7">
            <w:pPr>
              <w:spacing w:line="259" w:lineRule="exact"/>
              <w:jc w:val="both"/>
              <w:rPr>
                <w:rStyle w:val="2"/>
                <w:rFonts w:eastAsia="Calibri"/>
                <w:sz w:val="24"/>
                <w:szCs w:val="24"/>
              </w:rPr>
            </w:pPr>
          </w:p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jc w:val="both"/>
              <w:rPr>
                <w:rFonts w:ascii="Times New Roman" w:hAnsi="Times New Roman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держадміністрації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Fonts w:ascii="Times New Roman" w:eastAsia="Arial Unicode MS" w:hAnsi="Times New Roman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  <w:tcBorders>
              <w:bottom w:val="nil"/>
            </w:tcBorders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  <w:vMerge/>
          </w:tcPr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звернень щодо домашнього насильства та насильства за ознакою статі, за якими забезпечено своєчасне належне реагування відповідних суб’єктів, що здійснюють заходи у сфері запобігання та протидії домашньому насильству та/або насильству за ознакою статі,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держадміністрації,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 ЧРВП ГУНПН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="Calibri"/>
                <w:sz w:val="24"/>
                <w:szCs w:val="24"/>
              </w:rPr>
              <w:t>у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Львівській області (за згодою),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 (за згодою), інститути громадянського суспільства (за згодою)</w:t>
            </w:r>
          </w:p>
        </w:tc>
        <w:tc>
          <w:tcPr>
            <w:tcW w:w="1528" w:type="dxa"/>
            <w:tcBorders>
              <w:top w:val="nil"/>
            </w:tcBorders>
          </w:tcPr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Проведення навчань із міжвідомчого реагування на випадки домашнього насильства, насильства за ознакою статі та жорстокого поводження з дітьми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територіальних громад, у яких відповідальні працівники взяли участь у навчаннях із міжвідомчого реагування на випадки домашнього насильства, насильства за ознакою статі та жорстокого поводження з дітьми,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305703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Pr="000D3AAE" w:rsidRDefault="00305703" w:rsidP="00C05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AAE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Частка територіальних громад, в яких програми для кривдників з розподілом за статтю виконуються підготовленими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фахівцями,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lastRenderedPageBreak/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згодою), інститути громадянського суспільства (за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lastRenderedPageBreak/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Проведення навчань для фахівців, які виконують програми для кривдників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територіальних громад, у яких фахівці, які виконують програми для постраждалих осіб, пройшли відповідне навчання,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18.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Забезпечення отримання постраждалою особою повної та вичерпної інформації від суб’єктів, що здійснюють заходи у сфері запобігання та протидії домашньому насильству, про свої права і соціальні послуги, медичну, соціальну, психологічну допомогу, якими вона може скористатися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суб’єктів взаємодії, у яких на всіх офіційних інформаційних ресурсах розміщено інформацію про права і соціальні послуги, медичну, соціальну, психологічну допомогу, якими постраждала особа може скористатися,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суб’єкти взаємодії у сфері запобігання та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протидії домашньому насильству,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виконавчі органи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 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19.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Забезпечення надання допомоги постраждалим особам, включаючи недієздатних осіб, осіб з інвалідністю та дітей, за місцем звернення незалежно від звернення такої особи до правоохоронних органів чи суду, від їх участі у кримінальному або цивільному провадженні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постраждалих осіб, яким надано послуги відповідно до їх потреб,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суб’єкти взаємодії у сфері запобігання та 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протидії домашньому насильству,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20.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Забезпечення здійснення в кожній територіальній громаді своєчасних та дієвих заходів щодо захисту прав та законних інтересів постраждалої дитини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постраждалих дітей, які отримали допомогу відповідно до їх потреб,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Служба у справах дітей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59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Проведення аналізу потреб у створенні спеціалізованих служб підтримки постраждалих осіб відповідно до методики визначення потреб територіальних громад у таких службах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територіальних громад, які визначили потребу у створенні спеціалізованих служб підтримки постраждалих осіб відповідно до методики визначення потреб територіальних громад у таких службах,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22.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6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Створення спеціалізованих служб підтримки постраждалих осіб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територіальних громад, на території проживання яких діє необхідна кількість спеціалізованих служб підтримки постраждалих осіб відповідно до методики визначення потреб територіальних громад у таких службах,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23.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6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Забезпечення діяльності притулків для постраждалих осіб відповідно до методики визначення потреб територіальних громад у таких службах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територіальних громад, які мають доступ до послуги притулку у спеціалізованих службах для постраждалих осіб відповідно до методики визначення потреб територіальних громад у таких службах,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24.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Забезпечення невідкладного реагування на звернення, які надійшли до кол-центру, щодо випадків домашнього насильства та/або насильства за ознакою статі; надання консультацій щодо всіх форм домашнього насильства та/або насильства за ознакою статі абонентам анонімно або з належним дотриманням правового режиму інформації з обмеженим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доступом, надання соціальної послуги кризового екстреного втручання у разі загрози життю та здоров’ю постраждалої особи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Частка постраждалих осіб, які звернулися до кол-центру та отримали допомогу відносно кількості осіб, які звернулися,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держадміністрації</w:t>
            </w:r>
            <w:r>
              <w:rPr>
                <w:rStyle w:val="2"/>
                <w:rFonts w:eastAsia="Calibri"/>
                <w:sz w:val="24"/>
                <w:szCs w:val="24"/>
              </w:rPr>
              <w:t xml:space="preserve">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згодою), інститути громадянського суспільства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Проведення моніторингу звернень, які надходять до кол-центру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Кількість підготовлених аналітичних записок із зазначенням результатів аналізу звернень до кол-центру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Управління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соціального захисту населення </w:t>
            </w:r>
            <w:r>
              <w:rPr>
                <w:rStyle w:val="2"/>
                <w:rFonts w:eastAsia="Calibri"/>
                <w:sz w:val="24"/>
                <w:szCs w:val="24"/>
              </w:rPr>
              <w:t>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держадміністрації, 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26.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Забезпечення доступу осіб, постраждалих від зґвалтування, фізичного та/або сексуального насильства, до медичної допомоги; судово-медичної, судово- психіатричної, судово-психологічної експертизи (за потреби); послуг з охорони психічного здоров’я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осіб, які постраждали від зґвалтування та/або сексуального насильства та звернулися у зв’язку з цим до закладів охорони здоров’я, яким надано необхідні послуги, у тому числі медичні, з охорони психічного здоров’я, судово-медичної експертизи,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Управління гуманітарної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="Calibri"/>
                <w:sz w:val="24"/>
                <w:szCs w:val="24"/>
              </w:rPr>
              <w:t>сфери 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держадміністрації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27.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Розширення доступу до послуг первинної медичної допомоги, послуг з охорони психічного здоров’я осіб, постраждалих від зґвалтування, фізичного та/або сексуального насильства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територіальних громад, які мають на базі закладів охорони здоров’я кабінети первинної допомоги постраждалим особам,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Управління гуманітарної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="Calibri"/>
                <w:sz w:val="24"/>
                <w:szCs w:val="24"/>
              </w:rPr>
              <w:t>сфери рай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держадміністрації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28.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Інформування дитини, її батьків, інших законних представників про права дитини, заходи та послуги, якими вони можуть скористатися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забезпечення інформування дитини, її батьків, інших законних представників про права дитини, заходи та послуги, якими вони можуть скористатися у кожній територіальній громаді,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Служба у справах дітей райдержадміністрації,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>центр</w:t>
            </w:r>
            <w:r>
              <w:rPr>
                <w:rStyle w:val="2"/>
                <w:rFonts w:eastAsia="Calibri"/>
                <w:sz w:val="24"/>
                <w:szCs w:val="24"/>
              </w:rPr>
              <w:t>и соціа</w:t>
            </w:r>
            <w:r>
              <w:rPr>
                <w:rStyle w:val="2"/>
                <w:rFonts w:eastAsia="Calibri"/>
                <w:sz w:val="24"/>
                <w:szCs w:val="24"/>
              </w:rPr>
              <w:softHyphen/>
              <w:t xml:space="preserve">льних служб,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29.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Запровадження інструментів проведення оцінки ризиків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вчинення повторного правопорушення для планування профілактичної роботи з дітьми, зокрема з урахуванням тендерної складової.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 xml:space="preserve">Кількість запроваджених інструментів проведення оцінки ризиків вчинення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повторного правопорушення для планування соціально- виховної роботи з дітьми та методичні рекомендації для її проведення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jc w:val="both"/>
              <w:rPr>
                <w:rFonts w:ascii="Times New Roman" w:hAnsi="Times New Roman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lastRenderedPageBreak/>
              <w:t>ЧРВП ГУНПН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="Calibri"/>
                <w:sz w:val="24"/>
                <w:szCs w:val="24"/>
              </w:rPr>
              <w:t>у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Львівській області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Забезпечення виконання рішень судів про проходження програм для кривдників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кривдників, які пройшли програми для кривдників,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Управління соціального захисту населення райдержадміністрації, 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виконавчі органи </w:t>
            </w:r>
            <w:r>
              <w:rPr>
                <w:rStyle w:val="2"/>
                <w:rFonts w:eastAsia="Calibri"/>
                <w:sz w:val="24"/>
                <w:szCs w:val="24"/>
              </w:rPr>
              <w:t>територіальних громад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(за згодою), інститути громадянського суспільства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305703" w:rsidRPr="000D3AAE" w:rsidTr="00C051C7">
        <w:trPr>
          <w:trHeight w:val="20"/>
        </w:trPr>
        <w:tc>
          <w:tcPr>
            <w:tcW w:w="556" w:type="dxa"/>
          </w:tcPr>
          <w:p w:rsidR="00305703" w:rsidRDefault="00305703" w:rsidP="00C05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31.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Забезпечення уповноваженим підрозділом органу Національної поліції взяття на профілактичний облік кривдника з моменту виявлення факту вчинення ним домашнього насильства та/або насильства за ознакою статі на встановлений законодавством строк і проведення з ним профілактичної роботи відповідно до законодавства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35A">
              <w:rPr>
                <w:rStyle w:val="2"/>
                <w:rFonts w:eastAsia="Calibri"/>
                <w:sz w:val="24"/>
                <w:szCs w:val="24"/>
              </w:rPr>
              <w:t>Частка кривдників, узятих на профілактичний облік, відсотків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5703" w:rsidRPr="000D035A" w:rsidRDefault="00305703" w:rsidP="00C051C7">
            <w:pPr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ЧРВП ГУНПН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="Calibri"/>
                <w:sz w:val="24"/>
                <w:szCs w:val="24"/>
              </w:rPr>
              <w:t>у</w:t>
            </w:r>
            <w:r w:rsidRPr="000D035A">
              <w:rPr>
                <w:rStyle w:val="2"/>
                <w:rFonts w:eastAsia="Calibri"/>
                <w:sz w:val="24"/>
                <w:szCs w:val="24"/>
              </w:rPr>
              <w:t xml:space="preserve"> Львівській області</w:t>
            </w:r>
          </w:p>
        </w:tc>
        <w:tc>
          <w:tcPr>
            <w:tcW w:w="1528" w:type="dxa"/>
          </w:tcPr>
          <w:p w:rsidR="00305703" w:rsidRDefault="00305703" w:rsidP="00C051C7">
            <w:r w:rsidRPr="00121A42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</w:tbl>
    <w:p w:rsidR="00305703" w:rsidRPr="0014271D" w:rsidRDefault="00305703" w:rsidP="00305703">
      <w:pPr>
        <w:ind w:left="6180"/>
        <w:rPr>
          <w:rFonts w:ascii="Times New Roman" w:hAnsi="Times New Roman"/>
          <w:sz w:val="26"/>
          <w:szCs w:val="26"/>
          <w:lang w:val="uk-UA"/>
        </w:rPr>
      </w:pPr>
    </w:p>
    <w:p w:rsidR="00305703" w:rsidRPr="00ED1738" w:rsidRDefault="00F04B3B" w:rsidP="00305703">
      <w:pPr>
        <w:tabs>
          <w:tab w:val="left" w:pos="7020"/>
        </w:tabs>
        <w:ind w:left="618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</w:t>
      </w:r>
    </w:p>
    <w:p w:rsidR="00766FC1" w:rsidRPr="00305703" w:rsidRDefault="00766FC1">
      <w:pPr>
        <w:rPr>
          <w:lang w:val="uk-UA"/>
        </w:rPr>
      </w:pPr>
    </w:p>
    <w:sectPr w:rsidR="00766FC1" w:rsidRPr="00305703" w:rsidSect="00F04B3B">
      <w:headerReference w:type="default" r:id="rId6"/>
      <w:pgSz w:w="16838" w:h="11906" w:orient="landscape"/>
      <w:pgMar w:top="850" w:right="850" w:bottom="1417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77D" w:rsidRDefault="0025677D" w:rsidP="00F04B3B">
      <w:pPr>
        <w:spacing w:after="0" w:line="240" w:lineRule="auto"/>
      </w:pPr>
      <w:r>
        <w:separator/>
      </w:r>
    </w:p>
  </w:endnote>
  <w:endnote w:type="continuationSeparator" w:id="0">
    <w:p w:rsidR="0025677D" w:rsidRDefault="0025677D" w:rsidP="00F0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77D" w:rsidRDefault="0025677D" w:rsidP="00F04B3B">
      <w:pPr>
        <w:spacing w:after="0" w:line="240" w:lineRule="auto"/>
      </w:pPr>
      <w:r>
        <w:separator/>
      </w:r>
    </w:p>
  </w:footnote>
  <w:footnote w:type="continuationSeparator" w:id="0">
    <w:p w:rsidR="0025677D" w:rsidRDefault="0025677D" w:rsidP="00F0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96764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04B3B" w:rsidRPr="00F04B3B" w:rsidRDefault="00F04B3B">
        <w:pPr>
          <w:pStyle w:val="a6"/>
          <w:jc w:val="center"/>
          <w:rPr>
            <w:sz w:val="24"/>
            <w:szCs w:val="24"/>
          </w:rPr>
        </w:pPr>
        <w:r w:rsidRPr="00F04B3B">
          <w:rPr>
            <w:sz w:val="24"/>
            <w:szCs w:val="24"/>
          </w:rPr>
          <w:fldChar w:fldCharType="begin"/>
        </w:r>
        <w:r w:rsidRPr="00F04B3B">
          <w:rPr>
            <w:sz w:val="24"/>
            <w:szCs w:val="24"/>
          </w:rPr>
          <w:instrText>PAGE   \* MERGEFORMAT</w:instrText>
        </w:r>
        <w:r w:rsidRPr="00F04B3B">
          <w:rPr>
            <w:sz w:val="24"/>
            <w:szCs w:val="24"/>
          </w:rPr>
          <w:fldChar w:fldCharType="separate"/>
        </w:r>
        <w:r w:rsidR="006749F2">
          <w:rPr>
            <w:noProof/>
            <w:sz w:val="24"/>
            <w:szCs w:val="24"/>
          </w:rPr>
          <w:t>10</w:t>
        </w:r>
        <w:r w:rsidRPr="00F04B3B">
          <w:rPr>
            <w:sz w:val="24"/>
            <w:szCs w:val="24"/>
          </w:rPr>
          <w:fldChar w:fldCharType="end"/>
        </w:r>
      </w:p>
    </w:sdtContent>
  </w:sdt>
  <w:p w:rsidR="00F04B3B" w:rsidRDefault="00F04B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5703"/>
    <w:rsid w:val="000F376B"/>
    <w:rsid w:val="0025677D"/>
    <w:rsid w:val="00305703"/>
    <w:rsid w:val="0033419B"/>
    <w:rsid w:val="005066D0"/>
    <w:rsid w:val="006749F2"/>
    <w:rsid w:val="00766FC1"/>
    <w:rsid w:val="00862460"/>
    <w:rsid w:val="00BA4825"/>
    <w:rsid w:val="00E22A4A"/>
    <w:rsid w:val="00F04B3B"/>
    <w:rsid w:val="00FE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1C2117E"/>
  <w15:docId w15:val="{AFBFB6C4-AD04-4CDC-91A7-4FF03B77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01">
    <w:name w:val="2301"/>
    <w:aliases w:val="baiaagaaboqcaaad0gqaaaxgbaaaaaaaaaaaaaaaaaaaaaaaaaaaaaaaaaaaaaaaaaaaaaaaaaaaaaaaaaaaaaaaaaaaaaaaaaaaaaaaaaaaaaaaaaaaaaaaaaaaaaaaaaaaaaaaaaaaaaaaaaaaaaaaaaaaaaaaaaaaaaaaaaaaaaaaaaaaaaaaaaaaaaaaaaaaaaaaaaaaaaaaaaaaaaaaaaaaaaaaaaaaaaaa"/>
    <w:basedOn w:val="a"/>
    <w:rsid w:val="00305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">
    <w:name w:val="Основной текст (2)"/>
    <w:rsid w:val="003057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3">
    <w:name w:val="Колонтитул_"/>
    <w:link w:val="a4"/>
    <w:rsid w:val="00305703"/>
    <w:rPr>
      <w:rFonts w:ascii="Times New Roman" w:eastAsia="Times New Roman" w:hAnsi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30570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customStyle="1" w:styleId="wfxRecipient">
    <w:name w:val="wfxRecipient"/>
    <w:basedOn w:val="a"/>
    <w:uiPriority w:val="99"/>
    <w:rsid w:val="00E22A4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/>
    </w:rPr>
  </w:style>
  <w:style w:type="paragraph" w:customStyle="1" w:styleId="a5">
    <w:name w:val="Знак Знак Знак Знак"/>
    <w:basedOn w:val="a"/>
    <w:rsid w:val="00E22A4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04B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4B3B"/>
  </w:style>
  <w:style w:type="paragraph" w:styleId="a8">
    <w:name w:val="footer"/>
    <w:basedOn w:val="a"/>
    <w:link w:val="a9"/>
    <w:uiPriority w:val="99"/>
    <w:unhideWhenUsed/>
    <w:rsid w:val="00F04B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4B3B"/>
  </w:style>
  <w:style w:type="paragraph" w:styleId="aa">
    <w:name w:val="Balloon Text"/>
    <w:basedOn w:val="a"/>
    <w:link w:val="ab"/>
    <w:uiPriority w:val="99"/>
    <w:semiHidden/>
    <w:unhideWhenUsed/>
    <w:rsid w:val="00F04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4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11439</Words>
  <Characters>6521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</dc:creator>
  <cp:keywords/>
  <dc:description/>
  <cp:lastModifiedBy>User</cp:lastModifiedBy>
  <cp:revision>5</cp:revision>
  <cp:lastPrinted>2021-09-29T12:28:00Z</cp:lastPrinted>
  <dcterms:created xsi:type="dcterms:W3CDTF">2021-09-28T11:24:00Z</dcterms:created>
  <dcterms:modified xsi:type="dcterms:W3CDTF">2021-10-04T13:20:00Z</dcterms:modified>
</cp:coreProperties>
</file>